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1" w:type="dxa"/>
        <w:tblLayout w:type="fixed"/>
        <w:tblCellMar>
          <w:left w:w="70" w:type="dxa"/>
          <w:right w:w="70" w:type="dxa"/>
        </w:tblCellMar>
        <w:tblLook w:val="0000" w:firstRow="0" w:lastRow="0" w:firstColumn="0" w:lastColumn="0" w:noHBand="0" w:noVBand="0"/>
      </w:tblPr>
      <w:tblGrid>
        <w:gridCol w:w="7867"/>
        <w:gridCol w:w="1984"/>
      </w:tblGrid>
      <w:tr w:rsidR="00AB6C14" w:rsidRPr="00953E97" w14:paraId="24CB6C0B" w14:textId="77777777" w:rsidTr="00631AF7">
        <w:trPr>
          <w:cantSplit/>
          <w:trHeight w:val="1119"/>
        </w:trPr>
        <w:tc>
          <w:tcPr>
            <w:tcW w:w="7867" w:type="dxa"/>
          </w:tcPr>
          <w:p w14:paraId="040BEFA1" w14:textId="77777777" w:rsidR="00AB6C14" w:rsidRPr="00953E97" w:rsidRDefault="00AB6C14" w:rsidP="00631AF7">
            <w:pPr>
              <w:tabs>
                <w:tab w:val="left" w:pos="1134"/>
              </w:tabs>
            </w:pPr>
            <w:r w:rsidRPr="00953E97">
              <w:rPr>
                <w:noProof/>
              </w:rPr>
              <w:drawing>
                <wp:inline distT="0" distB="0" distL="0" distR="0" wp14:anchorId="54F80349" wp14:editId="49A2FC55">
                  <wp:extent cx="1970407" cy="65160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407" cy="651600"/>
                          </a:xfrm>
                          <a:prstGeom prst="rect">
                            <a:avLst/>
                          </a:prstGeom>
                        </pic:spPr>
                      </pic:pic>
                    </a:graphicData>
                  </a:graphic>
                </wp:inline>
              </w:drawing>
            </w:r>
          </w:p>
        </w:tc>
        <w:tc>
          <w:tcPr>
            <w:tcW w:w="1984" w:type="dxa"/>
            <w:vAlign w:val="center"/>
          </w:tcPr>
          <w:p w14:paraId="58F4A2B1" w14:textId="707C8546" w:rsidR="00AB6C14" w:rsidRPr="005C1194" w:rsidRDefault="00AB6C14" w:rsidP="00631AF7">
            <w:pPr>
              <w:tabs>
                <w:tab w:val="right" w:pos="5106"/>
              </w:tabs>
              <w:spacing w:line="320" w:lineRule="exact"/>
              <w:ind w:left="71" w:right="74"/>
              <w:jc w:val="right"/>
            </w:pPr>
            <w:r w:rsidRPr="005C1194">
              <w:t>SPCG/</w:t>
            </w:r>
            <w:r w:rsidR="00844E00">
              <w:t>104</w:t>
            </w:r>
          </w:p>
          <w:p w14:paraId="3C124AC6" w14:textId="179A1D76" w:rsidR="00AB6C14" w:rsidRPr="00953E97" w:rsidRDefault="00AB6C14" w:rsidP="00631AF7">
            <w:pPr>
              <w:tabs>
                <w:tab w:val="right" w:pos="5106"/>
              </w:tabs>
              <w:spacing w:line="320" w:lineRule="exact"/>
              <w:ind w:left="71" w:right="74"/>
              <w:jc w:val="right"/>
            </w:pPr>
            <w:r w:rsidRPr="009016E7">
              <w:rPr>
                <w:highlight w:val="yellow"/>
              </w:rPr>
              <w:t>202</w:t>
            </w:r>
            <w:r w:rsidR="00844E00" w:rsidRPr="009016E7">
              <w:rPr>
                <w:highlight w:val="yellow"/>
              </w:rPr>
              <w:t>2</w:t>
            </w:r>
            <w:r w:rsidRPr="009016E7">
              <w:rPr>
                <w:highlight w:val="yellow"/>
              </w:rPr>
              <w:t>-</w:t>
            </w:r>
            <w:r w:rsidR="00844E00" w:rsidRPr="009016E7">
              <w:rPr>
                <w:highlight w:val="yellow"/>
              </w:rPr>
              <w:t>2</w:t>
            </w:r>
            <w:r w:rsidR="001D73AA" w:rsidRPr="009016E7">
              <w:rPr>
                <w:highlight w:val="yellow"/>
              </w:rPr>
              <w:t>2</w:t>
            </w:r>
            <w:r w:rsidR="00512BB4" w:rsidRPr="009016E7">
              <w:rPr>
                <w:highlight w:val="yellow"/>
              </w:rPr>
              <w:t>-</w:t>
            </w:r>
            <w:r w:rsidR="00844E00" w:rsidRPr="009016E7">
              <w:rPr>
                <w:highlight w:val="yellow"/>
              </w:rPr>
              <w:t>2</w:t>
            </w:r>
            <w:r w:rsidR="00D83C0A">
              <w:rPr>
                <w:highlight w:val="yellow"/>
              </w:rPr>
              <w:t>4</w:t>
            </w:r>
          </w:p>
        </w:tc>
      </w:tr>
    </w:tbl>
    <w:p w14:paraId="2AFC9ADE" w14:textId="77777777" w:rsidR="00AB6C14" w:rsidRPr="00953E97" w:rsidRDefault="00AB6C14" w:rsidP="00AB6C14">
      <w:pPr>
        <w:tabs>
          <w:tab w:val="left" w:pos="1134"/>
        </w:tabs>
        <w:jc w:val="both"/>
      </w:pP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0"/>
      </w:tblGrid>
      <w:tr w:rsidR="00AB6C14" w:rsidRPr="00953E97" w14:paraId="76950601" w14:textId="77777777" w:rsidTr="00AB6C14">
        <w:trPr>
          <w:trHeight w:val="530"/>
        </w:trPr>
        <w:tc>
          <w:tcPr>
            <w:tcW w:w="9860" w:type="dxa"/>
            <w:tcBorders>
              <w:bottom w:val="single" w:sz="4" w:space="0" w:color="auto"/>
            </w:tcBorders>
            <w:vAlign w:val="center"/>
          </w:tcPr>
          <w:p w14:paraId="37CE0B51" w14:textId="3A25A4A1" w:rsidR="00AB6C14" w:rsidRPr="00953E97" w:rsidRDefault="00AB6C14" w:rsidP="00631AF7">
            <w:pPr>
              <w:tabs>
                <w:tab w:val="left" w:pos="1843"/>
              </w:tabs>
              <w:jc w:val="both"/>
              <w:rPr>
                <w:b/>
              </w:rPr>
            </w:pPr>
            <w:r w:rsidRPr="00953E97">
              <w:rPr>
                <w:b/>
              </w:rPr>
              <w:t>SPCG –</w:t>
            </w:r>
            <w:r w:rsidRPr="00953E97">
              <w:t xml:space="preserve"> </w:t>
            </w:r>
            <w:r w:rsidRPr="00953E97">
              <w:rPr>
                <w:b/>
              </w:rPr>
              <w:t>Standardization Programme Coordination Group</w:t>
            </w:r>
          </w:p>
        </w:tc>
      </w:tr>
    </w:tbl>
    <w:p w14:paraId="4E143D90" w14:textId="77777777" w:rsidR="00AB6C14" w:rsidRPr="00953E97" w:rsidRDefault="00AB6C14" w:rsidP="00AB6C14">
      <w:pPr>
        <w:tabs>
          <w:tab w:val="left" w:pos="1843"/>
        </w:tabs>
        <w:ind w:left="57"/>
        <w:jc w:val="both"/>
      </w:pPr>
    </w:p>
    <w:p w14:paraId="271C4EE8" w14:textId="2B311B7A" w:rsidR="00AB6C14" w:rsidRPr="00953E97" w:rsidRDefault="00AB6C14">
      <w:pPr>
        <w:rPr>
          <w:b/>
          <w:bCs/>
        </w:rPr>
      </w:pPr>
      <w:r w:rsidRPr="00953E97">
        <w:rPr>
          <w:b/>
          <w:bCs/>
        </w:rPr>
        <w:t>SPCG Recommendation</w:t>
      </w:r>
    </w:p>
    <w:p w14:paraId="15F7DB6F" w14:textId="1E87086D" w:rsidR="00AB6C14" w:rsidRPr="00953E97" w:rsidRDefault="00AA5377">
      <w:pPr>
        <w:rPr>
          <w:b/>
          <w:bCs/>
        </w:rPr>
      </w:pPr>
      <w:r w:rsidRPr="00953E97">
        <w:rPr>
          <w:b/>
          <w:bCs/>
        </w:rPr>
        <w:t xml:space="preserve">Ref.: </w:t>
      </w:r>
      <w:r w:rsidR="00844E00" w:rsidRPr="00844E00">
        <w:rPr>
          <w:b/>
          <w:bCs/>
        </w:rPr>
        <w:t>ISO/TS/P 300: PROPOSAL FOR A NEW FIELD OF TECHNICAL ACTIVITY: New TC on Small hydropower plants (SHP plants).</w:t>
      </w:r>
    </w:p>
    <w:p w14:paraId="0CD7C7C0" w14:textId="4D16C533" w:rsidR="00AB6C14" w:rsidRPr="00953E97" w:rsidRDefault="00AB6C14">
      <w:pPr>
        <w:rPr>
          <w:rFonts w:ascii="Helvetica" w:hAnsi="Helvetica" w:cs="Times New Roman"/>
          <w:b/>
          <w:bCs/>
          <w:color w:val="37474F"/>
        </w:rPr>
      </w:pPr>
    </w:p>
    <w:p w14:paraId="4F5D2D33" w14:textId="22F6AD12" w:rsidR="004E16B4" w:rsidRPr="00953E97" w:rsidRDefault="008B5BFA" w:rsidP="005849F6">
      <w:r w:rsidRPr="00953E97">
        <w:t xml:space="preserve">The </w:t>
      </w:r>
      <w:r w:rsidR="002A71A8" w:rsidRPr="00953E97">
        <w:t xml:space="preserve">IEC SMB/ISO TMB/ITU-T TSAG Standardization Programme Coordination Group (SPCG) </w:t>
      </w:r>
      <w:r w:rsidRPr="00953E97">
        <w:t>thanks</w:t>
      </w:r>
      <w:r w:rsidR="004E16B4" w:rsidRPr="00953E97">
        <w:t xml:space="preserve"> </w:t>
      </w:r>
      <w:r w:rsidR="00376FB1">
        <w:t>ISO</w:t>
      </w:r>
      <w:r w:rsidR="00F265CC">
        <w:t xml:space="preserve"> for </w:t>
      </w:r>
      <w:r w:rsidR="004E16B4" w:rsidRPr="00953E97">
        <w:t xml:space="preserve">sharing </w:t>
      </w:r>
      <w:r w:rsidR="00380FB8" w:rsidRPr="00380FB8">
        <w:t>ISO/TS/P 300: PROPOSAL FOR A NEW FIELD OF TECHNICAL ACTIVITY: New TC on Small hydropower plants (SHP plants).</w:t>
      </w:r>
    </w:p>
    <w:p w14:paraId="7E8BDBE7" w14:textId="5680178A" w:rsidR="004E16B4" w:rsidRPr="00953E97" w:rsidRDefault="004E16B4" w:rsidP="005849F6"/>
    <w:p w14:paraId="0B13F542" w14:textId="017730A7" w:rsidR="004E16B4" w:rsidRPr="00953E97" w:rsidRDefault="004E16B4" w:rsidP="007475DA">
      <w:pPr>
        <w:jc w:val="both"/>
      </w:pPr>
      <w:r w:rsidRPr="00953E97">
        <w:t xml:space="preserve">SPCG has reviewed the content of the proposal and would like to offer the following information and recommendation for </w:t>
      </w:r>
      <w:r w:rsidR="00376FB1">
        <w:t>ISO/TMB</w:t>
      </w:r>
      <w:r w:rsidR="008B5BFA" w:rsidRPr="00953E97">
        <w:t xml:space="preserve"> </w:t>
      </w:r>
      <w:r w:rsidRPr="00953E97">
        <w:t>to consider.</w:t>
      </w:r>
    </w:p>
    <w:p w14:paraId="12ACDECF" w14:textId="0CEC552A" w:rsidR="004E16B4" w:rsidRPr="00953E97" w:rsidRDefault="004E16B4" w:rsidP="007475DA">
      <w:pPr>
        <w:jc w:val="both"/>
      </w:pPr>
    </w:p>
    <w:p w14:paraId="54216AAB" w14:textId="352590BA" w:rsidR="000B0A11" w:rsidRDefault="000B0A11" w:rsidP="009025A4">
      <w:pPr>
        <w:jc w:val="both"/>
      </w:pPr>
      <w:r w:rsidRPr="000B0A11">
        <w:t xml:space="preserve">The SPCG </w:t>
      </w:r>
      <w:r w:rsidR="00D01FD7">
        <w:t>understands</w:t>
      </w:r>
      <w:r w:rsidRPr="000B0A11">
        <w:t xml:space="preserve"> that the construction of a power plant is a special building producing power. It was emphasized by some of the IEC TCs that it is hard to imagine that a power plant can be designed without active deep engagement and leadership of electrical designers. Although the proposer explicitly excludes electrotechnical work, there will obviously be interfaces to IEC work, for instance when selecting electromechanical equipment.</w:t>
      </w:r>
    </w:p>
    <w:p w14:paraId="7D2DFAF2" w14:textId="438D77C2" w:rsidR="00331C48" w:rsidRDefault="00331C48" w:rsidP="009025A4">
      <w:pPr>
        <w:jc w:val="both"/>
      </w:pPr>
    </w:p>
    <w:p w14:paraId="52DBD30C" w14:textId="6C2E19B3" w:rsidR="005F3A59" w:rsidRDefault="00331C48" w:rsidP="009025A4">
      <w:pPr>
        <w:jc w:val="both"/>
      </w:pPr>
      <w:r>
        <w:t xml:space="preserve">The SCPG </w:t>
      </w:r>
      <w:r w:rsidR="006D4170">
        <w:t>supports the following exclusions mentioned in the proposed scope</w:t>
      </w:r>
      <w:r w:rsidR="005F3A59">
        <w:t xml:space="preserve"> and emphasizes the importance of </w:t>
      </w:r>
      <w:r w:rsidR="007475DA">
        <w:t xml:space="preserve">establishing </w:t>
      </w:r>
      <w:r w:rsidR="004B3DDD">
        <w:t>these liaison relationships</w:t>
      </w:r>
      <w:r w:rsidR="007475DA">
        <w:t xml:space="preserve"> as soon as the work</w:t>
      </w:r>
      <w:r w:rsidR="006E4DB6">
        <w:t xml:space="preserve"> is initiated</w:t>
      </w:r>
      <w:r w:rsidR="006D4170">
        <w:t>:</w:t>
      </w:r>
    </w:p>
    <w:p w14:paraId="0AFB47E7" w14:textId="77777777" w:rsidR="005F3A59" w:rsidRDefault="005F3A59" w:rsidP="009025A4">
      <w:pPr>
        <w:jc w:val="both"/>
      </w:pPr>
    </w:p>
    <w:p w14:paraId="7B675193" w14:textId="1EB73E34" w:rsidR="005F3A59" w:rsidRPr="004A78BA" w:rsidRDefault="005F3A59" w:rsidP="005F3A59">
      <w:pPr>
        <w:pStyle w:val="ListParagraph"/>
        <w:numPr>
          <w:ilvl w:val="0"/>
          <w:numId w:val="8"/>
        </w:numPr>
      </w:pPr>
      <w:r>
        <w:t xml:space="preserve">Standardization of electromechanical equipment for SHP plants covered by IEC/TC 4, IEC/TC 14, IEC/TC 17, </w:t>
      </w:r>
      <w:r w:rsidRPr="004A78BA">
        <w:rPr>
          <w:color w:val="000000" w:themeColor="text1"/>
        </w:rPr>
        <w:t>IEC/TC 22</w:t>
      </w:r>
      <w:r>
        <w:rPr>
          <w:color w:val="000000" w:themeColor="text1"/>
        </w:rPr>
        <w:t xml:space="preserve"> and IEC/TC 57</w:t>
      </w:r>
      <w:r w:rsidRPr="004A78BA">
        <w:rPr>
          <w:color w:val="000000" w:themeColor="text1"/>
        </w:rPr>
        <w:t xml:space="preserve">, </w:t>
      </w:r>
      <w:proofErr w:type="gramStart"/>
      <w:r w:rsidRPr="004A78BA">
        <w:rPr>
          <w:color w:val="000000" w:themeColor="text1"/>
        </w:rPr>
        <w:t>etc.</w:t>
      </w:r>
      <w:r w:rsidR="006E4DB6">
        <w:rPr>
          <w:color w:val="000000" w:themeColor="text1"/>
        </w:rPr>
        <w:t>;</w:t>
      </w:r>
      <w:proofErr w:type="gramEnd"/>
    </w:p>
    <w:p w14:paraId="45B1702F" w14:textId="1D5569A9" w:rsidR="005F3A59" w:rsidRDefault="005F3A59" w:rsidP="005F3A59">
      <w:pPr>
        <w:pStyle w:val="ListParagraph"/>
        <w:numPr>
          <w:ilvl w:val="0"/>
          <w:numId w:val="8"/>
        </w:numPr>
      </w:pPr>
      <w:r>
        <w:t xml:space="preserve">Standardization of </w:t>
      </w:r>
      <w:r w:rsidRPr="004A78BA">
        <w:t>marine energy conversion systems</w:t>
      </w:r>
      <w:r>
        <w:t xml:space="preserve"> covered by IEC/TC114</w:t>
      </w:r>
      <w:r w:rsidR="006E4DB6">
        <w:t>.</w:t>
      </w:r>
    </w:p>
    <w:p w14:paraId="25382392" w14:textId="618A84FB" w:rsidR="00331C48" w:rsidRDefault="00331C48" w:rsidP="007475DA">
      <w:pPr>
        <w:jc w:val="both"/>
      </w:pPr>
    </w:p>
    <w:p w14:paraId="7AD75CA2" w14:textId="4408D51D" w:rsidR="007475DA" w:rsidRDefault="00CD7E01" w:rsidP="007475DA">
      <w:pPr>
        <w:jc w:val="both"/>
      </w:pPr>
      <w:r>
        <w:t xml:space="preserve">On projects of high relevance </w:t>
      </w:r>
      <w:r w:rsidR="004B3DDD">
        <w:t xml:space="preserve">to </w:t>
      </w:r>
      <w:r>
        <w:t xml:space="preserve">two or more committees, </w:t>
      </w:r>
      <w:r w:rsidR="004B3DDD">
        <w:t xml:space="preserve">the Joint Working Group mechanism should be use as agreed between the relevant committees. </w:t>
      </w:r>
    </w:p>
    <w:p w14:paraId="5A453BB1" w14:textId="77777777" w:rsidR="009025A4" w:rsidRDefault="009025A4" w:rsidP="009025A4">
      <w:pPr>
        <w:jc w:val="both"/>
      </w:pPr>
    </w:p>
    <w:p w14:paraId="3DD57DDD" w14:textId="63430884" w:rsidR="00BF6330" w:rsidRPr="009F10C3" w:rsidRDefault="00BF6330" w:rsidP="007475DA">
      <w:pPr>
        <w:jc w:val="both"/>
        <w:rPr>
          <w:b/>
          <w:bCs/>
          <w:color w:val="000000"/>
          <w:lang w:eastAsia="en-US"/>
        </w:rPr>
      </w:pPr>
      <w:r w:rsidRPr="009F10C3">
        <w:rPr>
          <w:b/>
          <w:bCs/>
          <w:color w:val="000000"/>
          <w:lang w:eastAsia="en-US"/>
        </w:rPr>
        <w:t>SPCG recommends:</w:t>
      </w:r>
    </w:p>
    <w:p w14:paraId="4ABCBA36" w14:textId="77777777" w:rsidR="00FC5DAC" w:rsidRDefault="00F66E77" w:rsidP="007475DA">
      <w:pPr>
        <w:pStyle w:val="ListParagraph"/>
        <w:numPr>
          <w:ilvl w:val="0"/>
          <w:numId w:val="1"/>
        </w:numPr>
        <w:spacing w:before="120"/>
        <w:ind w:left="714" w:hanging="357"/>
        <w:contextualSpacing w:val="0"/>
        <w:jc w:val="both"/>
        <w:rPr>
          <w:color w:val="000000"/>
          <w:lang w:eastAsia="en-US"/>
        </w:rPr>
      </w:pPr>
      <w:r w:rsidRPr="00FC5DAC">
        <w:rPr>
          <w:color w:val="000000"/>
          <w:lang w:eastAsia="en-US"/>
        </w:rPr>
        <w:t>The following deliverables should be added to the list of relevant existing documents:</w:t>
      </w:r>
    </w:p>
    <w:p w14:paraId="30F58048" w14:textId="2EF30384" w:rsidR="00FC5DAC" w:rsidRDefault="00F66E77" w:rsidP="007475DA">
      <w:pPr>
        <w:pStyle w:val="ListParagraph"/>
        <w:numPr>
          <w:ilvl w:val="1"/>
          <w:numId w:val="1"/>
        </w:numPr>
        <w:spacing w:before="120"/>
        <w:contextualSpacing w:val="0"/>
        <w:jc w:val="both"/>
        <w:rPr>
          <w:color w:val="000000"/>
          <w:lang w:eastAsia="en-US"/>
        </w:rPr>
      </w:pPr>
      <w:r w:rsidRPr="00FC5DAC">
        <w:rPr>
          <w:color w:val="000000"/>
          <w:lang w:eastAsia="en-US"/>
        </w:rPr>
        <w:t>IEC/IEEE 63197 (Terms and Definitions for Hydro Turbine Governing Systems)</w:t>
      </w:r>
      <w:r w:rsidR="00FC5DAC">
        <w:rPr>
          <w:color w:val="000000"/>
          <w:lang w:eastAsia="en-US"/>
        </w:rPr>
        <w:t>,</w:t>
      </w:r>
    </w:p>
    <w:p w14:paraId="5893D24B" w14:textId="35AF07E6" w:rsidR="00F66E77" w:rsidRDefault="00F66E77" w:rsidP="007475DA">
      <w:pPr>
        <w:pStyle w:val="ListParagraph"/>
        <w:numPr>
          <w:ilvl w:val="1"/>
          <w:numId w:val="1"/>
        </w:numPr>
        <w:spacing w:before="120"/>
        <w:contextualSpacing w:val="0"/>
        <w:jc w:val="both"/>
        <w:rPr>
          <w:color w:val="000000"/>
          <w:lang w:eastAsia="en-US"/>
        </w:rPr>
      </w:pPr>
      <w:r w:rsidRPr="00FC5DAC">
        <w:rPr>
          <w:color w:val="000000"/>
          <w:lang w:eastAsia="en-US"/>
        </w:rPr>
        <w:t>IEC/IEEE 63198 (Technical Guide for Smart Hydroelectric Power Plants)</w:t>
      </w:r>
      <w:r w:rsidR="00FC5DAC">
        <w:rPr>
          <w:color w:val="000000"/>
          <w:lang w:eastAsia="en-US"/>
        </w:rPr>
        <w:t>,</w:t>
      </w:r>
    </w:p>
    <w:p w14:paraId="16CEDDE5" w14:textId="5BA8A5B4" w:rsidR="006A7052" w:rsidRDefault="006A7052" w:rsidP="007475DA">
      <w:pPr>
        <w:pStyle w:val="ListParagraph"/>
        <w:numPr>
          <w:ilvl w:val="1"/>
          <w:numId w:val="1"/>
        </w:numPr>
        <w:spacing w:before="120"/>
        <w:contextualSpacing w:val="0"/>
        <w:jc w:val="both"/>
        <w:rPr>
          <w:color w:val="000000"/>
          <w:lang w:eastAsia="en-US"/>
        </w:rPr>
      </w:pPr>
      <w:r w:rsidRPr="006A7052">
        <w:rPr>
          <w:color w:val="000000"/>
          <w:lang w:eastAsia="en-US"/>
        </w:rPr>
        <w:t>IEC 61850</w:t>
      </w:r>
      <w:r>
        <w:rPr>
          <w:color w:val="000000"/>
          <w:lang w:eastAsia="en-US"/>
        </w:rPr>
        <w:t xml:space="preserve"> (</w:t>
      </w:r>
      <w:r w:rsidR="00C50B7C" w:rsidRPr="00C50B7C">
        <w:rPr>
          <w:color w:val="000000"/>
          <w:lang w:eastAsia="en-US"/>
        </w:rPr>
        <w:t>Communication networks and systems for power utility automation</w:t>
      </w:r>
      <w:r>
        <w:rPr>
          <w:color w:val="000000"/>
          <w:lang w:eastAsia="en-US"/>
        </w:rPr>
        <w:t>)</w:t>
      </w:r>
      <w:r w:rsidR="0072082A">
        <w:rPr>
          <w:color w:val="000000"/>
          <w:lang w:eastAsia="en-US"/>
        </w:rPr>
        <w:t>,</w:t>
      </w:r>
    </w:p>
    <w:p w14:paraId="235CE86E" w14:textId="7578E458" w:rsidR="00FC5DAC" w:rsidRDefault="00FC5DAC" w:rsidP="007475DA">
      <w:pPr>
        <w:pStyle w:val="ListParagraph"/>
        <w:numPr>
          <w:ilvl w:val="1"/>
          <w:numId w:val="1"/>
        </w:numPr>
        <w:spacing w:before="120"/>
        <w:contextualSpacing w:val="0"/>
        <w:jc w:val="both"/>
        <w:rPr>
          <w:color w:val="000000"/>
          <w:lang w:eastAsia="en-US"/>
        </w:rPr>
      </w:pPr>
      <w:r w:rsidRPr="00FC5DAC">
        <w:rPr>
          <w:color w:val="000000"/>
          <w:lang w:eastAsia="en-US"/>
        </w:rPr>
        <w:t>a reference to existing IEC/TC 14 standards</w:t>
      </w:r>
      <w:r w:rsidR="0072082A">
        <w:rPr>
          <w:color w:val="000000"/>
          <w:lang w:eastAsia="en-US"/>
        </w:rPr>
        <w:t>.</w:t>
      </w:r>
    </w:p>
    <w:p w14:paraId="233DC7F9" w14:textId="77777777" w:rsidR="006A7052" w:rsidRPr="006A7052" w:rsidRDefault="006A7052" w:rsidP="007475DA">
      <w:pPr>
        <w:pStyle w:val="ListParagraph"/>
        <w:numPr>
          <w:ilvl w:val="0"/>
          <w:numId w:val="1"/>
        </w:numPr>
        <w:spacing w:before="120"/>
        <w:ind w:left="714" w:hanging="357"/>
        <w:contextualSpacing w:val="0"/>
        <w:jc w:val="both"/>
        <w:rPr>
          <w:color w:val="000000"/>
          <w:lang w:eastAsia="en-US"/>
        </w:rPr>
      </w:pPr>
      <w:r w:rsidRPr="006A7052">
        <w:rPr>
          <w:color w:val="000000"/>
          <w:lang w:eastAsia="en-US"/>
        </w:rPr>
        <w:t>The following items should be refined in the proposal:</w:t>
      </w:r>
    </w:p>
    <w:p w14:paraId="556B7452" w14:textId="77777777" w:rsidR="002F4083" w:rsidRDefault="006A7052" w:rsidP="00CF4E71">
      <w:pPr>
        <w:pStyle w:val="ListParagraph"/>
        <w:numPr>
          <w:ilvl w:val="1"/>
          <w:numId w:val="1"/>
        </w:numPr>
        <w:spacing w:before="120"/>
        <w:contextualSpacing w:val="0"/>
        <w:rPr>
          <w:color w:val="000000"/>
          <w:lang w:eastAsia="en-US"/>
        </w:rPr>
      </w:pPr>
      <w:r w:rsidRPr="006A7052">
        <w:rPr>
          <w:color w:val="000000"/>
          <w:lang w:eastAsia="en-US"/>
        </w:rPr>
        <w:t>Definition of “small” hydropower plant</w:t>
      </w:r>
      <w:r>
        <w:rPr>
          <w:color w:val="000000"/>
          <w:lang w:eastAsia="en-US"/>
        </w:rPr>
        <w:t>, and</w:t>
      </w:r>
    </w:p>
    <w:p w14:paraId="5B0C23E8" w14:textId="191A296C" w:rsidR="006A7052" w:rsidRPr="006A7052" w:rsidRDefault="00090D54" w:rsidP="00B35E67">
      <w:pPr>
        <w:pStyle w:val="ListParagraph"/>
        <w:numPr>
          <w:ilvl w:val="1"/>
          <w:numId w:val="1"/>
        </w:numPr>
        <w:spacing w:before="120"/>
        <w:contextualSpacing w:val="0"/>
        <w:rPr>
          <w:color w:val="000000"/>
          <w:lang w:eastAsia="en-US"/>
        </w:rPr>
      </w:pPr>
      <w:r>
        <w:rPr>
          <w:color w:val="000000"/>
          <w:lang w:eastAsia="en-US"/>
        </w:rPr>
        <w:t xml:space="preserve">The title of the </w:t>
      </w:r>
      <w:r w:rsidR="00105B94">
        <w:rPr>
          <w:color w:val="000000"/>
          <w:lang w:eastAsia="en-US"/>
        </w:rPr>
        <w:t>committee should be changed from “Small hydro power plants (SHO)” to “</w:t>
      </w:r>
      <w:r w:rsidR="009D5650" w:rsidRPr="00B35E67">
        <w:rPr>
          <w:color w:val="FF0000"/>
          <w:lang w:eastAsia="en-US"/>
        </w:rPr>
        <w:t xml:space="preserve">Construction of </w:t>
      </w:r>
      <w:r w:rsidR="009D5650">
        <w:rPr>
          <w:color w:val="000000"/>
          <w:lang w:eastAsia="en-US"/>
        </w:rPr>
        <w:t>small hydro power plants (SHO)</w:t>
      </w:r>
    </w:p>
    <w:p w14:paraId="4C3B9308" w14:textId="648F0DA4" w:rsidR="004930A2" w:rsidRDefault="004930A2" w:rsidP="00CF4E71">
      <w:pPr>
        <w:pStyle w:val="ListParagraph"/>
        <w:numPr>
          <w:ilvl w:val="1"/>
          <w:numId w:val="1"/>
        </w:numPr>
        <w:spacing w:before="120"/>
        <w:contextualSpacing w:val="0"/>
        <w:rPr>
          <w:color w:val="000000"/>
          <w:lang w:eastAsia="en-US"/>
        </w:rPr>
      </w:pPr>
      <w:r>
        <w:rPr>
          <w:color w:val="000000"/>
          <w:lang w:eastAsia="en-US"/>
        </w:rPr>
        <w:t>Additional e</w:t>
      </w:r>
      <w:r w:rsidR="006A7052" w:rsidRPr="006A7052">
        <w:rPr>
          <w:color w:val="000000"/>
          <w:lang w:eastAsia="en-US"/>
        </w:rPr>
        <w:t>xclusion from the scope</w:t>
      </w:r>
      <w:r>
        <w:rPr>
          <w:color w:val="000000"/>
          <w:lang w:eastAsia="en-US"/>
        </w:rPr>
        <w:t>:</w:t>
      </w:r>
    </w:p>
    <w:p w14:paraId="61DF980C" w14:textId="5F0B3F97" w:rsidR="006A7052" w:rsidRDefault="006A7052" w:rsidP="00B35E67">
      <w:pPr>
        <w:pStyle w:val="ListParagraph"/>
        <w:numPr>
          <w:ilvl w:val="1"/>
          <w:numId w:val="1"/>
        </w:numPr>
        <w:spacing w:before="120"/>
        <w:contextualSpacing w:val="0"/>
        <w:rPr>
          <w:color w:val="000000"/>
          <w:lang w:eastAsia="en-US"/>
        </w:rPr>
      </w:pPr>
      <w:r w:rsidRPr="006A7052">
        <w:rPr>
          <w:color w:val="000000"/>
          <w:lang w:eastAsia="en-US"/>
        </w:rPr>
        <w:t xml:space="preserve">automation, control, and communication equipment as well as communication protocols covered by </w:t>
      </w:r>
      <w:r>
        <w:rPr>
          <w:color w:val="000000"/>
          <w:lang w:eastAsia="en-US"/>
        </w:rPr>
        <w:t>IEC/</w:t>
      </w:r>
      <w:r w:rsidRPr="006A7052">
        <w:rPr>
          <w:color w:val="000000"/>
          <w:lang w:eastAsia="en-US"/>
        </w:rPr>
        <w:t>TC 57.</w:t>
      </w:r>
    </w:p>
    <w:p w14:paraId="33725BBE" w14:textId="77777777" w:rsidR="00B71D75" w:rsidRPr="00953E97" w:rsidRDefault="00B71D75" w:rsidP="007475DA">
      <w:pPr>
        <w:jc w:val="both"/>
        <w:rPr>
          <w:color w:val="000000"/>
          <w:lang w:eastAsia="en-US"/>
        </w:rPr>
      </w:pPr>
    </w:p>
    <w:p w14:paraId="723CCFC2" w14:textId="6F454C2E" w:rsidR="00D30517" w:rsidRPr="00953E97" w:rsidRDefault="00D30517" w:rsidP="007475DA">
      <w:pPr>
        <w:jc w:val="both"/>
      </w:pPr>
      <w:r w:rsidRPr="00953E97">
        <w:t>Amanda Richardson</w:t>
      </w:r>
    </w:p>
    <w:p w14:paraId="76BEB48C" w14:textId="4386649D" w:rsidR="00D30517" w:rsidRDefault="00D30517" w:rsidP="007475DA">
      <w:pPr>
        <w:jc w:val="both"/>
      </w:pPr>
      <w:r w:rsidRPr="00953E97">
        <w:t>Chair of IEC/ISO/ITU Standardization Programme Coordination Group</w:t>
      </w:r>
    </w:p>
    <w:p w14:paraId="15CEBDCB" w14:textId="3753D7A8" w:rsidR="00022FFA" w:rsidRDefault="00022FFA" w:rsidP="005849F6"/>
    <w:p w14:paraId="45665622" w14:textId="77777777" w:rsidR="00022FFA" w:rsidRPr="00A30364" w:rsidRDefault="00022FFA" w:rsidP="00022FFA">
      <w:pPr>
        <w:spacing w:after="120"/>
        <w:jc w:val="center"/>
        <w:rPr>
          <w:lang w:bidi="ar-SY"/>
        </w:rPr>
      </w:pPr>
      <w:bookmarkStart w:id="0" w:name="_Hlk86131115"/>
      <w:r w:rsidRPr="00A30364">
        <w:rPr>
          <w:rFonts w:asciiTheme="majorBidi" w:hAnsiTheme="majorBidi" w:cstheme="majorBidi"/>
        </w:rPr>
        <w:t>______________</w:t>
      </w:r>
    </w:p>
    <w:bookmarkEnd w:id="0"/>
    <w:p w14:paraId="268529BD" w14:textId="77777777" w:rsidR="00022FFA" w:rsidRPr="00953E97" w:rsidRDefault="00022FFA" w:rsidP="005849F6">
      <w:pPr>
        <w:rPr>
          <w:color w:val="000000"/>
          <w:lang w:eastAsia="en-US"/>
        </w:rPr>
      </w:pPr>
    </w:p>
    <w:sectPr w:rsidR="00022FFA" w:rsidRPr="00953E9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53F60" w14:textId="77777777" w:rsidR="003E6065" w:rsidRDefault="003E6065" w:rsidP="00104940">
      <w:r>
        <w:separator/>
      </w:r>
    </w:p>
  </w:endnote>
  <w:endnote w:type="continuationSeparator" w:id="0">
    <w:p w14:paraId="0EB62A36" w14:textId="77777777" w:rsidR="003E6065" w:rsidRDefault="003E6065" w:rsidP="00104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7089760"/>
      <w:docPartObj>
        <w:docPartGallery w:val="Page Numbers (Bottom of Page)"/>
        <w:docPartUnique/>
      </w:docPartObj>
    </w:sdtPr>
    <w:sdtEndPr>
      <w:rPr>
        <w:noProof/>
      </w:rPr>
    </w:sdtEndPr>
    <w:sdtContent>
      <w:p w14:paraId="515B8064" w14:textId="02C772C2" w:rsidR="00E83423" w:rsidRDefault="00E8342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32684" w14:textId="77777777" w:rsidR="003E6065" w:rsidRDefault="003E6065" w:rsidP="00104940">
      <w:r>
        <w:separator/>
      </w:r>
    </w:p>
  </w:footnote>
  <w:footnote w:type="continuationSeparator" w:id="0">
    <w:p w14:paraId="16CDD3D7" w14:textId="77777777" w:rsidR="003E6065" w:rsidRDefault="003E6065" w:rsidP="00104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00471"/>
    <w:multiLevelType w:val="hybridMultilevel"/>
    <w:tmpl w:val="020253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D1A16F0"/>
    <w:multiLevelType w:val="hybridMultilevel"/>
    <w:tmpl w:val="E5E4F7B6"/>
    <w:lvl w:ilvl="0" w:tplc="3238EE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AC7D13"/>
    <w:multiLevelType w:val="hybridMultilevel"/>
    <w:tmpl w:val="41E698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7266AFE"/>
    <w:multiLevelType w:val="hybridMultilevel"/>
    <w:tmpl w:val="FD96092A"/>
    <w:lvl w:ilvl="0" w:tplc="497A4AB2">
      <w:numFmt w:val="bullet"/>
      <w:lvlText w:val="-"/>
      <w:lvlJc w:val="left"/>
      <w:pPr>
        <w:ind w:left="420" w:hanging="360"/>
      </w:pPr>
      <w:rPr>
        <w:rFonts w:ascii="Tahoma" w:eastAsia="Calibri" w:hAnsi="Tahoma" w:cs="Tahoma"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start w:val="1"/>
      <w:numFmt w:val="bullet"/>
      <w:lvlText w:val=""/>
      <w:lvlJc w:val="left"/>
      <w:pPr>
        <w:ind w:left="2580" w:hanging="360"/>
      </w:pPr>
      <w:rPr>
        <w:rFonts w:ascii="Symbol" w:hAnsi="Symbol" w:hint="default"/>
      </w:rPr>
    </w:lvl>
    <w:lvl w:ilvl="4" w:tplc="08090003">
      <w:start w:val="1"/>
      <w:numFmt w:val="bullet"/>
      <w:lvlText w:val="o"/>
      <w:lvlJc w:val="left"/>
      <w:pPr>
        <w:ind w:left="3300" w:hanging="360"/>
      </w:pPr>
      <w:rPr>
        <w:rFonts w:ascii="Courier New" w:hAnsi="Courier New" w:cs="Courier New" w:hint="default"/>
      </w:rPr>
    </w:lvl>
    <w:lvl w:ilvl="5" w:tplc="08090005">
      <w:start w:val="1"/>
      <w:numFmt w:val="bullet"/>
      <w:lvlText w:val=""/>
      <w:lvlJc w:val="left"/>
      <w:pPr>
        <w:ind w:left="4020" w:hanging="360"/>
      </w:pPr>
      <w:rPr>
        <w:rFonts w:ascii="Wingdings" w:hAnsi="Wingdings" w:hint="default"/>
      </w:rPr>
    </w:lvl>
    <w:lvl w:ilvl="6" w:tplc="08090001">
      <w:start w:val="1"/>
      <w:numFmt w:val="bullet"/>
      <w:lvlText w:val=""/>
      <w:lvlJc w:val="left"/>
      <w:pPr>
        <w:ind w:left="4740" w:hanging="360"/>
      </w:pPr>
      <w:rPr>
        <w:rFonts w:ascii="Symbol" w:hAnsi="Symbol" w:hint="default"/>
      </w:rPr>
    </w:lvl>
    <w:lvl w:ilvl="7" w:tplc="08090003">
      <w:start w:val="1"/>
      <w:numFmt w:val="bullet"/>
      <w:lvlText w:val="o"/>
      <w:lvlJc w:val="left"/>
      <w:pPr>
        <w:ind w:left="5460" w:hanging="360"/>
      </w:pPr>
      <w:rPr>
        <w:rFonts w:ascii="Courier New" w:hAnsi="Courier New" w:cs="Courier New" w:hint="default"/>
      </w:rPr>
    </w:lvl>
    <w:lvl w:ilvl="8" w:tplc="08090005">
      <w:start w:val="1"/>
      <w:numFmt w:val="bullet"/>
      <w:lvlText w:val=""/>
      <w:lvlJc w:val="left"/>
      <w:pPr>
        <w:ind w:left="6180" w:hanging="360"/>
      </w:pPr>
      <w:rPr>
        <w:rFonts w:ascii="Wingdings" w:hAnsi="Wingdings" w:hint="default"/>
      </w:rPr>
    </w:lvl>
  </w:abstractNum>
  <w:abstractNum w:abstractNumId="4" w15:restartNumberingAfterBreak="0">
    <w:nsid w:val="37F90D12"/>
    <w:multiLevelType w:val="hybridMultilevel"/>
    <w:tmpl w:val="74323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C61401A"/>
    <w:multiLevelType w:val="hybridMultilevel"/>
    <w:tmpl w:val="D6984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4A5582D"/>
    <w:multiLevelType w:val="hybridMultilevel"/>
    <w:tmpl w:val="0870F298"/>
    <w:lvl w:ilvl="0" w:tplc="D68EB556">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 w15:restartNumberingAfterBreak="0">
    <w:nsid w:val="7C46619F"/>
    <w:multiLevelType w:val="hybridMultilevel"/>
    <w:tmpl w:val="AB123D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5"/>
  </w:num>
  <w:num w:numId="2">
    <w:abstractNumId w:val="7"/>
  </w:num>
  <w:num w:numId="3">
    <w:abstractNumId w:val="3"/>
  </w:num>
  <w:num w:numId="4">
    <w:abstractNumId w:val="4"/>
  </w:num>
  <w:num w:numId="5">
    <w:abstractNumId w:val="6"/>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C14"/>
    <w:rsid w:val="00022FFA"/>
    <w:rsid w:val="00032DC6"/>
    <w:rsid w:val="00060C77"/>
    <w:rsid w:val="00067EE5"/>
    <w:rsid w:val="00090569"/>
    <w:rsid w:val="00090D54"/>
    <w:rsid w:val="000B0A11"/>
    <w:rsid w:val="000E03BC"/>
    <w:rsid w:val="000F0E11"/>
    <w:rsid w:val="00104940"/>
    <w:rsid w:val="00105B94"/>
    <w:rsid w:val="00110E2A"/>
    <w:rsid w:val="0011454E"/>
    <w:rsid w:val="001147C1"/>
    <w:rsid w:val="00125091"/>
    <w:rsid w:val="00132AA4"/>
    <w:rsid w:val="0013739B"/>
    <w:rsid w:val="00160F8E"/>
    <w:rsid w:val="0017493A"/>
    <w:rsid w:val="001C7329"/>
    <w:rsid w:val="001D73AA"/>
    <w:rsid w:val="001E067B"/>
    <w:rsid w:val="001E5B83"/>
    <w:rsid w:val="002309B5"/>
    <w:rsid w:val="00262952"/>
    <w:rsid w:val="00272223"/>
    <w:rsid w:val="002A71A8"/>
    <w:rsid w:val="002D080A"/>
    <w:rsid w:val="002D198E"/>
    <w:rsid w:val="002D608D"/>
    <w:rsid w:val="002F4083"/>
    <w:rsid w:val="00306C25"/>
    <w:rsid w:val="00315C31"/>
    <w:rsid w:val="00320A81"/>
    <w:rsid w:val="00331C48"/>
    <w:rsid w:val="003610F6"/>
    <w:rsid w:val="0036311C"/>
    <w:rsid w:val="00367C6B"/>
    <w:rsid w:val="00376FB1"/>
    <w:rsid w:val="00380523"/>
    <w:rsid w:val="00380FB8"/>
    <w:rsid w:val="003C08DB"/>
    <w:rsid w:val="003E6065"/>
    <w:rsid w:val="003F3447"/>
    <w:rsid w:val="00403628"/>
    <w:rsid w:val="00410D09"/>
    <w:rsid w:val="004305B3"/>
    <w:rsid w:val="00443992"/>
    <w:rsid w:val="004732F3"/>
    <w:rsid w:val="00476492"/>
    <w:rsid w:val="00485566"/>
    <w:rsid w:val="00490FF6"/>
    <w:rsid w:val="0049225A"/>
    <w:rsid w:val="004930A2"/>
    <w:rsid w:val="004A68D2"/>
    <w:rsid w:val="004B139A"/>
    <w:rsid w:val="004B3DDD"/>
    <w:rsid w:val="004E16B4"/>
    <w:rsid w:val="00512BB4"/>
    <w:rsid w:val="005167EE"/>
    <w:rsid w:val="005200EA"/>
    <w:rsid w:val="0053152F"/>
    <w:rsid w:val="00554CF3"/>
    <w:rsid w:val="005647F3"/>
    <w:rsid w:val="005649AF"/>
    <w:rsid w:val="00571F9B"/>
    <w:rsid w:val="005849F6"/>
    <w:rsid w:val="00592D6A"/>
    <w:rsid w:val="005A13D6"/>
    <w:rsid w:val="005C1194"/>
    <w:rsid w:val="005F3A59"/>
    <w:rsid w:val="005F433D"/>
    <w:rsid w:val="00604A36"/>
    <w:rsid w:val="00653311"/>
    <w:rsid w:val="006877DA"/>
    <w:rsid w:val="006A7052"/>
    <w:rsid w:val="006D2A2B"/>
    <w:rsid w:val="006D4170"/>
    <w:rsid w:val="006D6412"/>
    <w:rsid w:val="006E231B"/>
    <w:rsid w:val="006E4DB6"/>
    <w:rsid w:val="006F3342"/>
    <w:rsid w:val="0072082A"/>
    <w:rsid w:val="00720A09"/>
    <w:rsid w:val="00730114"/>
    <w:rsid w:val="007428E7"/>
    <w:rsid w:val="007475DA"/>
    <w:rsid w:val="00775FE2"/>
    <w:rsid w:val="007C0CEC"/>
    <w:rsid w:val="007F2D0A"/>
    <w:rsid w:val="00806066"/>
    <w:rsid w:val="0081030E"/>
    <w:rsid w:val="008213CD"/>
    <w:rsid w:val="008243C4"/>
    <w:rsid w:val="00824E32"/>
    <w:rsid w:val="00844E00"/>
    <w:rsid w:val="008B5BFA"/>
    <w:rsid w:val="008E3285"/>
    <w:rsid w:val="008F494D"/>
    <w:rsid w:val="009016E7"/>
    <w:rsid w:val="009025A4"/>
    <w:rsid w:val="00926720"/>
    <w:rsid w:val="00930F43"/>
    <w:rsid w:val="00934C9B"/>
    <w:rsid w:val="00953E97"/>
    <w:rsid w:val="009753FE"/>
    <w:rsid w:val="00994C07"/>
    <w:rsid w:val="009B7EB7"/>
    <w:rsid w:val="009D5650"/>
    <w:rsid w:val="009E5F9C"/>
    <w:rsid w:val="009F10C3"/>
    <w:rsid w:val="009F46C3"/>
    <w:rsid w:val="009F4792"/>
    <w:rsid w:val="009F6758"/>
    <w:rsid w:val="00A13CBA"/>
    <w:rsid w:val="00A30F72"/>
    <w:rsid w:val="00A57B63"/>
    <w:rsid w:val="00A814AF"/>
    <w:rsid w:val="00A83988"/>
    <w:rsid w:val="00A8662F"/>
    <w:rsid w:val="00AA5377"/>
    <w:rsid w:val="00AB6C14"/>
    <w:rsid w:val="00AC1596"/>
    <w:rsid w:val="00AE2357"/>
    <w:rsid w:val="00B10C3F"/>
    <w:rsid w:val="00B11408"/>
    <w:rsid w:val="00B13EA3"/>
    <w:rsid w:val="00B35E67"/>
    <w:rsid w:val="00B37A53"/>
    <w:rsid w:val="00B5050A"/>
    <w:rsid w:val="00B61CD1"/>
    <w:rsid w:val="00B71D75"/>
    <w:rsid w:val="00B810BF"/>
    <w:rsid w:val="00BB36E2"/>
    <w:rsid w:val="00BB5C3E"/>
    <w:rsid w:val="00BC0C94"/>
    <w:rsid w:val="00BE364F"/>
    <w:rsid w:val="00BF6330"/>
    <w:rsid w:val="00C07DA0"/>
    <w:rsid w:val="00C20306"/>
    <w:rsid w:val="00C50B7C"/>
    <w:rsid w:val="00C714A3"/>
    <w:rsid w:val="00C75FDF"/>
    <w:rsid w:val="00C77A33"/>
    <w:rsid w:val="00CC45A4"/>
    <w:rsid w:val="00CD7E01"/>
    <w:rsid w:val="00CF1838"/>
    <w:rsid w:val="00CF4E71"/>
    <w:rsid w:val="00D01FD7"/>
    <w:rsid w:val="00D0671B"/>
    <w:rsid w:val="00D30517"/>
    <w:rsid w:val="00D346C8"/>
    <w:rsid w:val="00D36E55"/>
    <w:rsid w:val="00D37A99"/>
    <w:rsid w:val="00D4589D"/>
    <w:rsid w:val="00D51773"/>
    <w:rsid w:val="00D62F13"/>
    <w:rsid w:val="00D71435"/>
    <w:rsid w:val="00D83C0A"/>
    <w:rsid w:val="00D85BB1"/>
    <w:rsid w:val="00D879FF"/>
    <w:rsid w:val="00D90033"/>
    <w:rsid w:val="00D9347E"/>
    <w:rsid w:val="00DA3C71"/>
    <w:rsid w:val="00DB5C8B"/>
    <w:rsid w:val="00DF359D"/>
    <w:rsid w:val="00E00A29"/>
    <w:rsid w:val="00E1061A"/>
    <w:rsid w:val="00E31298"/>
    <w:rsid w:val="00E57785"/>
    <w:rsid w:val="00E83423"/>
    <w:rsid w:val="00EA1E6C"/>
    <w:rsid w:val="00EF60D4"/>
    <w:rsid w:val="00F05D77"/>
    <w:rsid w:val="00F1269D"/>
    <w:rsid w:val="00F1417C"/>
    <w:rsid w:val="00F20245"/>
    <w:rsid w:val="00F265CC"/>
    <w:rsid w:val="00F46628"/>
    <w:rsid w:val="00F66E77"/>
    <w:rsid w:val="00F75AC9"/>
    <w:rsid w:val="00F81B0F"/>
    <w:rsid w:val="00F90FE5"/>
    <w:rsid w:val="00FC5DAC"/>
    <w:rsid w:val="00FC7003"/>
    <w:rsid w:val="00FD4A0B"/>
    <w:rsid w:val="00FF7B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E98496"/>
  <w15:chartTrackingRefBased/>
  <w15:docId w15:val="{1612062C-80DF-4E16-906A-485A5E21D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C14"/>
    <w:pPr>
      <w:spacing w:after="0" w:line="240" w:lineRule="auto"/>
    </w:pPr>
    <w:rPr>
      <w:rFonts w:ascii="Arial" w:eastAsia="Times New Roman" w:hAnsi="Arial" w:cs="Arial"/>
      <w:lang w:eastAsia="zh-CN"/>
    </w:rPr>
  </w:style>
  <w:style w:type="paragraph" w:styleId="Heading1">
    <w:name w:val="heading 1"/>
    <w:basedOn w:val="Normal"/>
    <w:next w:val="Normal"/>
    <w:link w:val="Heading1Char"/>
    <w:rsid w:val="00022FF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ascii="Times New Roman" w:hAnsi="Times New Roman" w:cs="Times New Roman"/>
      <w:b/>
      <w:sz w:val="24"/>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30517"/>
    <w:pPr>
      <w:ind w:left="720"/>
      <w:contextualSpacing/>
    </w:pPr>
  </w:style>
  <w:style w:type="paragraph" w:styleId="NormalWeb">
    <w:name w:val="Normal (Web)"/>
    <w:basedOn w:val="Normal"/>
    <w:uiPriority w:val="99"/>
    <w:semiHidden/>
    <w:unhideWhenUsed/>
    <w:rsid w:val="00D30517"/>
    <w:pPr>
      <w:spacing w:before="100" w:beforeAutospacing="1" w:after="100" w:afterAutospacing="1"/>
    </w:pPr>
    <w:rPr>
      <w:rFonts w:ascii="Calibri" w:eastAsiaTheme="minorHAnsi" w:hAnsi="Calibri" w:cs="Calibri"/>
      <w:lang w:eastAsia="en-GB"/>
    </w:rPr>
  </w:style>
  <w:style w:type="paragraph" w:styleId="BalloonText">
    <w:name w:val="Balloon Text"/>
    <w:basedOn w:val="Normal"/>
    <w:link w:val="BalloonTextChar"/>
    <w:uiPriority w:val="99"/>
    <w:semiHidden/>
    <w:unhideWhenUsed/>
    <w:rsid w:val="00F05D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5D77"/>
    <w:rPr>
      <w:rFonts w:ascii="Segoe UI" w:eastAsia="Times New Roman" w:hAnsi="Segoe UI" w:cs="Segoe UI"/>
      <w:sz w:val="18"/>
      <w:szCs w:val="18"/>
      <w:lang w:eastAsia="zh-CN"/>
    </w:rPr>
  </w:style>
  <w:style w:type="character" w:styleId="Hyperlink">
    <w:name w:val="Hyperlink"/>
    <w:basedOn w:val="DefaultParagraphFont"/>
    <w:uiPriority w:val="99"/>
    <w:unhideWhenUsed/>
    <w:rsid w:val="00306C25"/>
    <w:rPr>
      <w:color w:val="0000FF"/>
      <w:u w:val="single"/>
    </w:rPr>
  </w:style>
  <w:style w:type="paragraph" w:styleId="Header">
    <w:name w:val="header"/>
    <w:basedOn w:val="Normal"/>
    <w:link w:val="HeaderChar"/>
    <w:uiPriority w:val="99"/>
    <w:unhideWhenUsed/>
    <w:rsid w:val="00104940"/>
    <w:pPr>
      <w:tabs>
        <w:tab w:val="center" w:pos="4513"/>
        <w:tab w:val="right" w:pos="9026"/>
      </w:tabs>
    </w:pPr>
  </w:style>
  <w:style w:type="character" w:customStyle="1" w:styleId="HeaderChar">
    <w:name w:val="Header Char"/>
    <w:basedOn w:val="DefaultParagraphFont"/>
    <w:link w:val="Header"/>
    <w:uiPriority w:val="99"/>
    <w:rsid w:val="00104940"/>
    <w:rPr>
      <w:rFonts w:ascii="Arial" w:eastAsia="Times New Roman" w:hAnsi="Arial" w:cs="Arial"/>
      <w:lang w:eastAsia="zh-CN"/>
    </w:rPr>
  </w:style>
  <w:style w:type="paragraph" w:styleId="Footer">
    <w:name w:val="footer"/>
    <w:basedOn w:val="Normal"/>
    <w:link w:val="FooterChar"/>
    <w:uiPriority w:val="99"/>
    <w:unhideWhenUsed/>
    <w:rsid w:val="00104940"/>
    <w:pPr>
      <w:tabs>
        <w:tab w:val="center" w:pos="4513"/>
        <w:tab w:val="right" w:pos="9026"/>
      </w:tabs>
    </w:pPr>
  </w:style>
  <w:style w:type="character" w:customStyle="1" w:styleId="FooterChar">
    <w:name w:val="Footer Char"/>
    <w:basedOn w:val="DefaultParagraphFont"/>
    <w:link w:val="Footer"/>
    <w:uiPriority w:val="99"/>
    <w:rsid w:val="00104940"/>
    <w:rPr>
      <w:rFonts w:ascii="Arial" w:eastAsia="Times New Roman" w:hAnsi="Arial" w:cs="Arial"/>
      <w:lang w:eastAsia="zh-CN"/>
    </w:rPr>
  </w:style>
  <w:style w:type="character" w:styleId="UnresolvedMention">
    <w:name w:val="Unresolved Mention"/>
    <w:basedOn w:val="DefaultParagraphFont"/>
    <w:uiPriority w:val="99"/>
    <w:semiHidden/>
    <w:unhideWhenUsed/>
    <w:rsid w:val="00953E97"/>
    <w:rPr>
      <w:color w:val="605E5C"/>
      <w:shd w:val="clear" w:color="auto" w:fill="E1DFDD"/>
    </w:rPr>
  </w:style>
  <w:style w:type="paragraph" w:styleId="Revision">
    <w:name w:val="Revision"/>
    <w:hidden/>
    <w:uiPriority w:val="99"/>
    <w:semiHidden/>
    <w:rsid w:val="00DF359D"/>
    <w:pPr>
      <w:spacing w:after="0" w:line="240" w:lineRule="auto"/>
    </w:pPr>
    <w:rPr>
      <w:rFonts w:ascii="Arial" w:eastAsia="Times New Roman" w:hAnsi="Arial" w:cs="Arial"/>
      <w:lang w:eastAsia="zh-CN"/>
    </w:rPr>
  </w:style>
  <w:style w:type="character" w:customStyle="1" w:styleId="Heading1Char">
    <w:name w:val="Heading 1 Char"/>
    <w:basedOn w:val="DefaultParagraphFont"/>
    <w:link w:val="Heading1"/>
    <w:rsid w:val="00022FFA"/>
    <w:rPr>
      <w:rFonts w:ascii="Times New Roman" w:eastAsia="Times New Roman" w:hAnsi="Times New Roman" w:cs="Times New Roman"/>
      <w:b/>
      <w:sz w:val="24"/>
      <w:szCs w:val="20"/>
    </w:rPr>
  </w:style>
  <w:style w:type="character" w:styleId="CommentReference">
    <w:name w:val="annotation reference"/>
    <w:basedOn w:val="DefaultParagraphFont"/>
    <w:uiPriority w:val="99"/>
    <w:semiHidden/>
    <w:unhideWhenUsed/>
    <w:rsid w:val="00F265CC"/>
    <w:rPr>
      <w:sz w:val="16"/>
      <w:szCs w:val="16"/>
    </w:rPr>
  </w:style>
  <w:style w:type="paragraph" w:styleId="CommentText">
    <w:name w:val="annotation text"/>
    <w:basedOn w:val="Normal"/>
    <w:link w:val="CommentTextChar"/>
    <w:uiPriority w:val="99"/>
    <w:semiHidden/>
    <w:unhideWhenUsed/>
    <w:rsid w:val="00F265CC"/>
    <w:rPr>
      <w:sz w:val="20"/>
      <w:szCs w:val="20"/>
    </w:rPr>
  </w:style>
  <w:style w:type="character" w:customStyle="1" w:styleId="CommentTextChar">
    <w:name w:val="Comment Text Char"/>
    <w:basedOn w:val="DefaultParagraphFont"/>
    <w:link w:val="CommentText"/>
    <w:uiPriority w:val="99"/>
    <w:semiHidden/>
    <w:rsid w:val="00F265CC"/>
    <w:rPr>
      <w:rFonts w:ascii="Arial" w:eastAsia="Times New Roman" w:hAnsi="Arial" w:cs="Arial"/>
      <w:sz w:val="20"/>
      <w:szCs w:val="20"/>
      <w:lang w:eastAsia="zh-CN"/>
    </w:rPr>
  </w:style>
  <w:style w:type="paragraph" w:styleId="CommentSubject">
    <w:name w:val="annotation subject"/>
    <w:basedOn w:val="CommentText"/>
    <w:next w:val="CommentText"/>
    <w:link w:val="CommentSubjectChar"/>
    <w:uiPriority w:val="99"/>
    <w:semiHidden/>
    <w:unhideWhenUsed/>
    <w:rsid w:val="00F265CC"/>
    <w:rPr>
      <w:b/>
      <w:bCs/>
    </w:rPr>
  </w:style>
  <w:style w:type="character" w:customStyle="1" w:styleId="CommentSubjectChar">
    <w:name w:val="Comment Subject Char"/>
    <w:basedOn w:val="CommentTextChar"/>
    <w:link w:val="CommentSubject"/>
    <w:uiPriority w:val="99"/>
    <w:semiHidden/>
    <w:rsid w:val="00F265CC"/>
    <w:rPr>
      <w:rFonts w:ascii="Arial" w:eastAsia="Times New Roman" w:hAnsi="Arial" w:cs="Arial"/>
      <w:b/>
      <w:bCs/>
      <w:sz w:val="20"/>
      <w:szCs w:val="20"/>
      <w:lang w:eastAsia="zh-CN"/>
    </w:rPr>
  </w:style>
  <w:style w:type="character" w:customStyle="1" w:styleId="ListParagraphChar">
    <w:name w:val="List Paragraph Char"/>
    <w:basedOn w:val="DefaultParagraphFont"/>
    <w:link w:val="ListParagraph"/>
    <w:uiPriority w:val="34"/>
    <w:locked/>
    <w:rsid w:val="005F3A59"/>
    <w:rPr>
      <w:rFonts w:ascii="Arial" w:eastAsia="Times New Roman"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770028">
      <w:bodyDiv w:val="1"/>
      <w:marLeft w:val="0"/>
      <w:marRight w:val="0"/>
      <w:marTop w:val="0"/>
      <w:marBottom w:val="0"/>
      <w:divBdr>
        <w:top w:val="none" w:sz="0" w:space="0" w:color="auto"/>
        <w:left w:val="none" w:sz="0" w:space="0" w:color="auto"/>
        <w:bottom w:val="none" w:sz="0" w:space="0" w:color="auto"/>
        <w:right w:val="none" w:sz="0" w:space="0" w:color="auto"/>
      </w:divBdr>
    </w:div>
    <w:div w:id="318073675">
      <w:bodyDiv w:val="1"/>
      <w:marLeft w:val="0"/>
      <w:marRight w:val="0"/>
      <w:marTop w:val="0"/>
      <w:marBottom w:val="0"/>
      <w:divBdr>
        <w:top w:val="none" w:sz="0" w:space="0" w:color="auto"/>
        <w:left w:val="none" w:sz="0" w:space="0" w:color="auto"/>
        <w:bottom w:val="none" w:sz="0" w:space="0" w:color="auto"/>
        <w:right w:val="none" w:sz="0" w:space="0" w:color="auto"/>
      </w:divBdr>
    </w:div>
    <w:div w:id="727385749">
      <w:bodyDiv w:val="1"/>
      <w:marLeft w:val="0"/>
      <w:marRight w:val="0"/>
      <w:marTop w:val="0"/>
      <w:marBottom w:val="0"/>
      <w:divBdr>
        <w:top w:val="none" w:sz="0" w:space="0" w:color="auto"/>
        <w:left w:val="none" w:sz="0" w:space="0" w:color="auto"/>
        <w:bottom w:val="none" w:sz="0" w:space="0" w:color="auto"/>
        <w:right w:val="none" w:sz="0" w:space="0" w:color="auto"/>
      </w:divBdr>
    </w:div>
    <w:div w:id="810825874">
      <w:bodyDiv w:val="1"/>
      <w:marLeft w:val="0"/>
      <w:marRight w:val="0"/>
      <w:marTop w:val="0"/>
      <w:marBottom w:val="0"/>
      <w:divBdr>
        <w:top w:val="none" w:sz="0" w:space="0" w:color="auto"/>
        <w:left w:val="none" w:sz="0" w:space="0" w:color="auto"/>
        <w:bottom w:val="none" w:sz="0" w:space="0" w:color="auto"/>
        <w:right w:val="none" w:sz="0" w:space="0" w:color="auto"/>
      </w:divBdr>
    </w:div>
    <w:div w:id="961038844">
      <w:bodyDiv w:val="1"/>
      <w:marLeft w:val="0"/>
      <w:marRight w:val="0"/>
      <w:marTop w:val="0"/>
      <w:marBottom w:val="0"/>
      <w:divBdr>
        <w:top w:val="none" w:sz="0" w:space="0" w:color="auto"/>
        <w:left w:val="none" w:sz="0" w:space="0" w:color="auto"/>
        <w:bottom w:val="none" w:sz="0" w:space="0" w:color="auto"/>
        <w:right w:val="none" w:sz="0" w:space="0" w:color="auto"/>
      </w:divBdr>
    </w:div>
    <w:div w:id="1063332602">
      <w:bodyDiv w:val="1"/>
      <w:marLeft w:val="0"/>
      <w:marRight w:val="0"/>
      <w:marTop w:val="0"/>
      <w:marBottom w:val="0"/>
      <w:divBdr>
        <w:top w:val="none" w:sz="0" w:space="0" w:color="auto"/>
        <w:left w:val="none" w:sz="0" w:space="0" w:color="auto"/>
        <w:bottom w:val="none" w:sz="0" w:space="0" w:color="auto"/>
        <w:right w:val="none" w:sz="0" w:space="0" w:color="auto"/>
      </w:divBdr>
    </w:div>
    <w:div w:id="196657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ED15FB13F7D246BF498412EB29A90E" ma:contentTypeVersion="12" ma:contentTypeDescription="Create a new document." ma:contentTypeScope="" ma:versionID="c5612cc6d56e2ad4388fb62e88a2bc5a">
  <xsd:schema xmlns:xsd="http://www.w3.org/2001/XMLSchema" xmlns:xs="http://www.w3.org/2001/XMLSchema" xmlns:p="http://schemas.microsoft.com/office/2006/metadata/properties" xmlns:ns2="1f1971f0-cd81-4485-99c5-e3663020cb23" xmlns:ns3="70b193c9-81fd-417a-b9eb-6b2c85330546" targetNamespace="http://schemas.microsoft.com/office/2006/metadata/properties" ma:root="true" ma:fieldsID="0b40cd1d298209d30cd7475b5a5fd1ab" ns2:_="" ns3:_="">
    <xsd:import namespace="1f1971f0-cd81-4485-99c5-e3663020cb23"/>
    <xsd:import namespace="70b193c9-81fd-417a-b9eb-6b2c8533054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1971f0-cd81-4485-99c5-e3663020c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b193c9-81fd-417a-b9eb-6b2c8533054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83E188-0E16-43AD-8BFE-6852CC01B86D}">
  <ds:schemaRefs>
    <ds:schemaRef ds:uri="http://schemas.openxmlformats.org/officeDocument/2006/bibliography"/>
  </ds:schemaRefs>
</ds:datastoreItem>
</file>

<file path=customXml/itemProps2.xml><?xml version="1.0" encoding="utf-8"?>
<ds:datastoreItem xmlns:ds="http://schemas.openxmlformats.org/officeDocument/2006/customXml" ds:itemID="{F65ABCB8-09F8-4360-9E54-C253C6C885A0}">
  <ds:schemaRefs>
    <ds:schemaRef ds:uri="http://schemas.microsoft.com/sharepoint/v3/contenttype/forms"/>
  </ds:schemaRefs>
</ds:datastoreItem>
</file>

<file path=customXml/itemProps3.xml><?xml version="1.0" encoding="utf-8"?>
<ds:datastoreItem xmlns:ds="http://schemas.openxmlformats.org/officeDocument/2006/customXml" ds:itemID="{22EB12B2-320F-43D8-973A-E07A7F5AB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1971f0-cd81-4485-99c5-e3663020cb23"/>
    <ds:schemaRef ds:uri="70b193c9-81fd-417a-b9eb-6b2c853305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62B09E-84DF-4D9A-889F-32143BB4338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Pages>
  <Words>360</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Mandich</dc:creator>
  <cp:keywords/>
  <dc:description/>
  <cp:lastModifiedBy>Martin Euchner</cp:lastModifiedBy>
  <cp:revision>70</cp:revision>
  <dcterms:created xsi:type="dcterms:W3CDTF">2021-12-03T11:17:00Z</dcterms:created>
  <dcterms:modified xsi:type="dcterms:W3CDTF">2022-02-24T16:54:00Z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0x010100DCED15FB13F7D246BF498412EB29A90E</vt:lpwstr>
  </property>
</Properties>
</file>